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F06418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Octubre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</w:t>
      </w:r>
      <w:r w:rsidR="00924AEC" w:rsidRPr="00924AEC">
        <w:rPr>
          <w:rFonts w:ascii="Arial" w:hAnsi="Arial" w:cs="Arial"/>
          <w:color w:val="404040"/>
          <w:shd w:val="clear" w:color="auto" w:fill="FFFFFF"/>
        </w:rPr>
        <w:t>artículos 19 y 20</w:t>
      </w:r>
      <w:r w:rsidR="0062305A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924AEC" w:rsidRPr="00924AEC">
        <w:rPr>
          <w:rFonts w:ascii="Arial" w:hAnsi="Arial" w:cs="Arial"/>
          <w:color w:val="404040"/>
          <w:shd w:val="clear" w:color="auto" w:fill="FFFFFF"/>
        </w:rPr>
        <w:t xml:space="preserve">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F06418">
        <w:rPr>
          <w:rFonts w:ascii="Arial" w:hAnsi="Arial" w:cs="Arial"/>
          <w:color w:val="404040"/>
          <w:shd w:val="clear" w:color="auto" w:fill="FFFFFF"/>
        </w:rPr>
        <w:t xml:space="preserve">octubre </w:t>
      </w:r>
      <w:r w:rsidR="00924AEC" w:rsidRPr="00924AEC">
        <w:rPr>
          <w:rFonts w:ascii="Arial" w:hAnsi="Arial" w:cs="Arial"/>
          <w:color w:val="404040"/>
          <w:shd w:val="clear" w:color="auto" w:fill="FFFFFF"/>
        </w:rPr>
        <w:t xml:space="preserve">de 2016 y </w:t>
      </w:r>
      <w:r w:rsidR="0062305A">
        <w:rPr>
          <w:rFonts w:ascii="Arial" w:hAnsi="Arial" w:cs="Arial"/>
          <w:color w:val="404040"/>
          <w:shd w:val="clear" w:color="auto" w:fill="FFFFFF"/>
        </w:rPr>
        <w:t xml:space="preserve">su respectivo costo de comisión, para </w:t>
      </w:r>
      <w:proofErr w:type="spellStart"/>
      <w:r w:rsidR="0062305A">
        <w:rPr>
          <w:rFonts w:ascii="Arial" w:hAnsi="Arial" w:cs="Arial"/>
          <w:color w:val="404040"/>
          <w:shd w:val="clear" w:color="auto" w:fill="FFFFFF"/>
        </w:rPr>
        <w:t>Codensa</w:t>
      </w:r>
      <w:proofErr w:type="spellEnd"/>
      <w:r w:rsidR="0062305A">
        <w:rPr>
          <w:rFonts w:ascii="Arial" w:hAnsi="Arial" w:cs="Arial"/>
          <w:color w:val="404040"/>
          <w:shd w:val="clear" w:color="auto" w:fill="FFFFFF"/>
        </w:rPr>
        <w:t xml:space="preserve"> y para la Empresa de Energía de Cundinamarca.</w:t>
      </w:r>
    </w:p>
    <w:tbl>
      <w:tblPr>
        <w:tblW w:w="9373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1780"/>
        <w:gridCol w:w="1000"/>
        <w:gridCol w:w="2055"/>
        <w:gridCol w:w="1836"/>
        <w:gridCol w:w="1600"/>
        <w:gridCol w:w="1102"/>
      </w:tblGrid>
      <w:tr w:rsidR="00A9320C" w:rsidRPr="00A9320C" w:rsidTr="00A9320C">
        <w:trPr>
          <w:trHeight w:val="345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Mes Cubrimiento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Concepto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Valor Garantía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Valor Comisión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Banco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Agente</w:t>
            </w:r>
          </w:p>
        </w:tc>
      </w:tr>
      <w:tr w:rsidR="00A9320C" w:rsidRPr="00A9320C" w:rsidTr="00A9320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oct-16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MEM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61,000,000,000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      4,867,466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BBVA 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Codensa</w:t>
            </w:r>
            <w:proofErr w:type="spellEnd"/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</w:t>
            </w:r>
          </w:p>
        </w:tc>
      </w:tr>
      <w:tr w:rsidR="00A9320C" w:rsidRPr="00A9320C" w:rsidTr="00A9320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oct-16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STR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  4,706,047,280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      1,351,860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BBVA 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</w:t>
            </w:r>
            <w:proofErr w:type="spellStart"/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Codensa</w:t>
            </w:r>
            <w:proofErr w:type="spellEnd"/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</w:t>
            </w:r>
          </w:p>
        </w:tc>
      </w:tr>
      <w:tr w:rsidR="00A9320C" w:rsidRPr="00A9320C" w:rsidTr="00A9320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 xml:space="preserve">Total </w:t>
            </w:r>
            <w:proofErr w:type="spellStart"/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Codensa</w:t>
            </w:r>
            <w:proofErr w:type="spellEnd"/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 xml:space="preserve"> $         65,706,047,280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 xml:space="preserve"> $               6,219,326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 </w:t>
            </w:r>
          </w:p>
        </w:tc>
      </w:tr>
      <w:tr w:rsidR="00A9320C" w:rsidRPr="00A9320C" w:rsidTr="00A9320C">
        <w:trPr>
          <w:trHeight w:val="12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</w:p>
        </w:tc>
      </w:tr>
      <w:tr w:rsidR="00A9320C" w:rsidRPr="00A9320C" w:rsidTr="00A9320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oct-16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MEM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  6,800,000,000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         550,139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BBVA 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EEC</w:t>
            </w:r>
          </w:p>
        </w:tc>
      </w:tr>
      <w:tr w:rsidR="00A9320C" w:rsidRPr="00A9320C" w:rsidTr="00A9320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oct-16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MEM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      200,000,000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         195,278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Banco de Bogotá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EEC</w:t>
            </w:r>
          </w:p>
        </w:tc>
      </w:tr>
      <w:tr w:rsidR="00A9320C" w:rsidRPr="00A9320C" w:rsidTr="00A9320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oct-16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STR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      562,400,203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 xml:space="preserve"> $                  549,122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Banco de Bogotá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color w:val="000000"/>
                <w:sz w:val="20"/>
                <w:lang w:eastAsia="es-ES"/>
              </w:rPr>
              <w:t>EEC</w:t>
            </w:r>
          </w:p>
        </w:tc>
      </w:tr>
      <w:tr w:rsidR="00A9320C" w:rsidRPr="00A9320C" w:rsidTr="00A9320C">
        <w:trPr>
          <w:trHeight w:val="30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Total EEC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 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 xml:space="preserve"> $           7,562,400,203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bottom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 xml:space="preserve"> $               1,294,539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A9320C" w:rsidRPr="00A9320C" w:rsidRDefault="00A9320C" w:rsidP="00A93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</w:pPr>
            <w:r w:rsidRPr="00A9320C">
              <w:rPr>
                <w:rFonts w:ascii="Calibri" w:eastAsia="Times New Roman" w:hAnsi="Calibri" w:cs="Calibri"/>
                <w:b/>
                <w:bCs/>
                <w:color w:val="FFFFFF"/>
                <w:sz w:val="20"/>
                <w:lang w:eastAsia="es-ES"/>
              </w:rPr>
              <w:t> </w:t>
            </w:r>
          </w:p>
        </w:tc>
      </w:tr>
    </w:tbl>
    <w:p w:rsidR="00AC78D3" w:rsidRDefault="00AC78D3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24BC6"/>
    <w:rsid w:val="0004450D"/>
    <w:rsid w:val="0009385A"/>
    <w:rsid w:val="00141ABF"/>
    <w:rsid w:val="001E21F1"/>
    <w:rsid w:val="001F76D7"/>
    <w:rsid w:val="002064DE"/>
    <w:rsid w:val="0029317A"/>
    <w:rsid w:val="003021CF"/>
    <w:rsid w:val="00354C80"/>
    <w:rsid w:val="004457E2"/>
    <w:rsid w:val="004A140D"/>
    <w:rsid w:val="0062305A"/>
    <w:rsid w:val="006F08F5"/>
    <w:rsid w:val="007664DF"/>
    <w:rsid w:val="00775F88"/>
    <w:rsid w:val="007A69C5"/>
    <w:rsid w:val="007F6FF9"/>
    <w:rsid w:val="008B6ABB"/>
    <w:rsid w:val="00924AEC"/>
    <w:rsid w:val="00997779"/>
    <w:rsid w:val="00A9320C"/>
    <w:rsid w:val="00AC78D3"/>
    <w:rsid w:val="00B546E0"/>
    <w:rsid w:val="00B82364"/>
    <w:rsid w:val="00C873F8"/>
    <w:rsid w:val="00D330F8"/>
    <w:rsid w:val="00E95692"/>
    <w:rsid w:val="00EB4F1E"/>
    <w:rsid w:val="00F0641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3</cp:revision>
  <dcterms:created xsi:type="dcterms:W3CDTF">2016-10-26T18:30:00Z</dcterms:created>
  <dcterms:modified xsi:type="dcterms:W3CDTF">2016-10-26T18:35:00Z</dcterms:modified>
</cp:coreProperties>
</file>