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E3E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 w:rsidRPr="0004450D">
        <w:rPr>
          <w:rFonts w:ascii="Arial" w:eastAsiaTheme="majorEastAsia" w:hAnsi="Arial" w:cs="Arial"/>
          <w:iCs/>
          <w:color w:val="526A86"/>
          <w:sz w:val="36"/>
          <w:szCs w:val="33"/>
        </w:rPr>
        <w:t>Costo de Garantías Financieras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>
        <w:rPr>
          <w:rFonts w:ascii="Arial" w:eastAsiaTheme="majorEastAsia" w:hAnsi="Arial" w:cs="Arial"/>
          <w:iCs/>
          <w:color w:val="526A86"/>
          <w:sz w:val="36"/>
          <w:szCs w:val="33"/>
        </w:rPr>
        <w:t>MEM – Uso del STR y/o SDL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</w:p>
    <w:p w:rsidR="004A140D" w:rsidRPr="004A140D" w:rsidRDefault="00C269B9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Junio</w:t>
      </w:r>
      <w:r w:rsidR="00E371AA">
        <w:rPr>
          <w:rFonts w:ascii="Arial" w:eastAsiaTheme="majorEastAsia" w:hAnsi="Arial" w:cs="Arial"/>
          <w:b/>
          <w:iCs/>
          <w:sz w:val="24"/>
          <w:szCs w:val="33"/>
        </w:rPr>
        <w:t xml:space="preserve"> </w:t>
      </w:r>
      <w:r w:rsidR="00BA7BFD">
        <w:rPr>
          <w:rFonts w:ascii="Arial" w:eastAsiaTheme="majorEastAsia" w:hAnsi="Arial" w:cs="Arial"/>
          <w:b/>
          <w:iCs/>
          <w:sz w:val="24"/>
          <w:szCs w:val="33"/>
        </w:rPr>
        <w:t xml:space="preserve">- </w:t>
      </w:r>
      <w:r w:rsidR="00B21269">
        <w:rPr>
          <w:rFonts w:ascii="Arial" w:eastAsiaTheme="majorEastAsia" w:hAnsi="Arial" w:cs="Arial"/>
          <w:b/>
          <w:iCs/>
          <w:sz w:val="24"/>
          <w:szCs w:val="33"/>
        </w:rPr>
        <w:t>201</w:t>
      </w:r>
      <w:r w:rsidR="00BC0790">
        <w:rPr>
          <w:rFonts w:ascii="Arial" w:eastAsiaTheme="majorEastAsia" w:hAnsi="Arial" w:cs="Arial"/>
          <w:b/>
          <w:iCs/>
          <w:sz w:val="24"/>
          <w:szCs w:val="33"/>
        </w:rPr>
        <w:t>8</w:t>
      </w:r>
    </w:p>
    <w:p w:rsidR="004E4E3E" w:rsidRDefault="005E3268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 xml:space="preserve">En cumplimiento artículos 19 y 20 de la resolución CREG 180 de 2014 “Costos de garantías financieras en el MEM” y “Costo de garantías financieras para cubrir el pago de los cargos por uso del STR y/o del SDL”, reportamos  las garantías constituidas por los conceptos mencionados anteriormente para el mes de </w:t>
      </w:r>
      <w:r w:rsidR="00C269B9">
        <w:rPr>
          <w:rFonts w:ascii="Arial" w:hAnsi="Arial" w:cs="Arial"/>
          <w:color w:val="404040"/>
          <w:shd w:val="clear" w:color="auto" w:fill="FFFFFF"/>
        </w:rPr>
        <w:t>Junio</w:t>
      </w:r>
      <w:r w:rsidR="00512CE2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BC0790">
        <w:rPr>
          <w:rFonts w:ascii="Arial" w:hAnsi="Arial" w:cs="Arial"/>
          <w:color w:val="404040"/>
          <w:shd w:val="clear" w:color="auto" w:fill="FFFFFF"/>
        </w:rPr>
        <w:t>de 2018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A7BFD">
        <w:rPr>
          <w:rFonts w:ascii="Arial" w:hAnsi="Arial" w:cs="Arial"/>
          <w:color w:val="404040"/>
          <w:shd w:val="clear" w:color="auto" w:fill="FFFFFF"/>
        </w:rPr>
        <w:t>para  Codensa.</w:t>
      </w:r>
    </w:p>
    <w:p w:rsidR="005A49A1" w:rsidRDefault="00C269B9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  <w:r w:rsidRPr="00C269B9">
        <w:drawing>
          <wp:inline distT="0" distB="0" distL="0" distR="0">
            <wp:extent cx="5940425" cy="94073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40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BA7BFD"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064DE"/>
    <w:rsid w:val="00024BC6"/>
    <w:rsid w:val="0003271B"/>
    <w:rsid w:val="0004450D"/>
    <w:rsid w:val="000841E4"/>
    <w:rsid w:val="0009385A"/>
    <w:rsid w:val="000B11A4"/>
    <w:rsid w:val="000C6460"/>
    <w:rsid w:val="0012606B"/>
    <w:rsid w:val="00141ABF"/>
    <w:rsid w:val="0019174E"/>
    <w:rsid w:val="001A460A"/>
    <w:rsid w:val="001E21F1"/>
    <w:rsid w:val="001F76D7"/>
    <w:rsid w:val="002064DE"/>
    <w:rsid w:val="002232DD"/>
    <w:rsid w:val="002729F1"/>
    <w:rsid w:val="0029317A"/>
    <w:rsid w:val="002A19F6"/>
    <w:rsid w:val="003021CF"/>
    <w:rsid w:val="00310557"/>
    <w:rsid w:val="00354C80"/>
    <w:rsid w:val="004457E2"/>
    <w:rsid w:val="00487C0E"/>
    <w:rsid w:val="004A140D"/>
    <w:rsid w:val="004C5104"/>
    <w:rsid w:val="004E4E3E"/>
    <w:rsid w:val="00502FDE"/>
    <w:rsid w:val="00512CE2"/>
    <w:rsid w:val="005831A0"/>
    <w:rsid w:val="005A49A1"/>
    <w:rsid w:val="005B72FD"/>
    <w:rsid w:val="005E3268"/>
    <w:rsid w:val="0062305A"/>
    <w:rsid w:val="006F08F5"/>
    <w:rsid w:val="0071393C"/>
    <w:rsid w:val="00727B99"/>
    <w:rsid w:val="007664DF"/>
    <w:rsid w:val="00775F88"/>
    <w:rsid w:val="007A69C5"/>
    <w:rsid w:val="007D48A7"/>
    <w:rsid w:val="007E2142"/>
    <w:rsid w:val="007E54FC"/>
    <w:rsid w:val="007E73E7"/>
    <w:rsid w:val="007F6FF9"/>
    <w:rsid w:val="00815A59"/>
    <w:rsid w:val="0081690D"/>
    <w:rsid w:val="00861EDD"/>
    <w:rsid w:val="008804FB"/>
    <w:rsid w:val="008B05FF"/>
    <w:rsid w:val="008B6ABB"/>
    <w:rsid w:val="00921FF0"/>
    <w:rsid w:val="00924AEC"/>
    <w:rsid w:val="009363F1"/>
    <w:rsid w:val="00997779"/>
    <w:rsid w:val="00A0328C"/>
    <w:rsid w:val="00A51D5C"/>
    <w:rsid w:val="00A650B9"/>
    <w:rsid w:val="00A9320C"/>
    <w:rsid w:val="00AC78D3"/>
    <w:rsid w:val="00B21269"/>
    <w:rsid w:val="00B546E0"/>
    <w:rsid w:val="00B82364"/>
    <w:rsid w:val="00BA7BFD"/>
    <w:rsid w:val="00BC0790"/>
    <w:rsid w:val="00BD2EA8"/>
    <w:rsid w:val="00C269B9"/>
    <w:rsid w:val="00C873F8"/>
    <w:rsid w:val="00D330F8"/>
    <w:rsid w:val="00E122C3"/>
    <w:rsid w:val="00E371AA"/>
    <w:rsid w:val="00E7782D"/>
    <w:rsid w:val="00E95692"/>
    <w:rsid w:val="00EB4F1E"/>
    <w:rsid w:val="00F06418"/>
    <w:rsid w:val="00F06C04"/>
    <w:rsid w:val="00F26F40"/>
    <w:rsid w:val="00F612B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68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co52501735</cp:lastModifiedBy>
  <cp:revision>16</cp:revision>
  <dcterms:created xsi:type="dcterms:W3CDTF">2017-06-27T19:44:00Z</dcterms:created>
  <dcterms:modified xsi:type="dcterms:W3CDTF">2018-06-28T21:06:00Z</dcterms:modified>
</cp:coreProperties>
</file>